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jc w:val="center"/>
        <w:textAlignment w:val="auto"/>
        <w:rPr>
          <w:rFonts w:hint="eastAsia" w:ascii="仿宋_GB2312" w:eastAsia="仿宋_GB2312"/>
          <w:sz w:val="32"/>
          <w:szCs w:val="32"/>
        </w:rPr>
      </w:pPr>
      <w:r>
        <w:rPr>
          <w:rFonts w:hint="eastAsia" w:ascii="仿宋_GB2312" w:eastAsia="仿宋_GB2312"/>
          <w:sz w:val="32"/>
          <w:szCs w:val="32"/>
        </w:rPr>
        <w:pict>
          <v:shape id="_x0000_s1026" o:spid="_x0000_s1026" o:spt="136" type="#_x0000_t136" style="position:absolute;left:0pt;margin-left:-22.5pt;margin-top:22.7pt;height:46.5pt;width:457.5pt;mso-wrap-distance-bottom:0pt;mso-wrap-distance-left:9pt;mso-wrap-distance-right:9pt;mso-wrap-distance-top:0pt;z-index:251659264;mso-width-relative:page;mso-height-relative:page;" fillcolor="#FF0000" filled="t" coordsize="21600,21600">
            <v:path/>
            <v:fill on="t" focussize="0,0"/>
            <v:stroke weight="1.25pt" color="#FF0000"/>
            <v:imagedata o:title=""/>
            <o:lock v:ext="edit"/>
            <v:textpath on="t" fitshape="t" fitpath="t" trim="t" xscale="f" string="天津市滨海新区教育体育局文件" style="font-family:方正小标宋简体;font-size:36pt;v-text-align:center;"/>
            <w10:wrap type="square"/>
          </v:shape>
        </w:pict>
      </w:r>
    </w:p>
    <w:p>
      <w:pPr>
        <w:keepNext w:val="0"/>
        <w:keepLines w:val="0"/>
        <w:pageBreakBefore w:val="0"/>
        <w:widowControl w:val="0"/>
        <w:tabs>
          <w:tab w:val="left" w:pos="2913"/>
          <w:tab w:val="center" w:pos="4500"/>
        </w:tabs>
        <w:kinsoku/>
        <w:wordWrap/>
        <w:overflowPunct/>
        <w:topLinePunct w:val="0"/>
        <w:autoSpaceDE/>
        <w:autoSpaceDN/>
        <w:bidi w:val="0"/>
        <w:adjustRightInd w:val="0"/>
        <w:snapToGrid w:val="0"/>
        <w:spacing w:line="560" w:lineRule="atLeast"/>
        <w:ind w:right="0" w:rightChars="0"/>
        <w:jc w:val="center"/>
        <w:textAlignment w:val="auto"/>
        <w:rPr>
          <w:rFonts w:hint="eastAsia" w:ascii="仿宋_GB2312" w:eastAsia="仿宋_GB2312" w:cs="仿宋_GB2312"/>
          <w:sz w:val="32"/>
          <w:szCs w:val="32"/>
        </w:rPr>
      </w:pPr>
    </w:p>
    <w:p>
      <w:pPr>
        <w:keepNext w:val="0"/>
        <w:keepLines w:val="0"/>
        <w:pageBreakBefore w:val="0"/>
        <w:widowControl w:val="0"/>
        <w:tabs>
          <w:tab w:val="left" w:pos="2913"/>
          <w:tab w:val="center" w:pos="4500"/>
        </w:tabs>
        <w:kinsoku/>
        <w:wordWrap/>
        <w:overflowPunct/>
        <w:topLinePunct w:val="0"/>
        <w:autoSpaceDE/>
        <w:autoSpaceDN/>
        <w:bidi w:val="0"/>
        <w:adjustRightInd w:val="0"/>
        <w:snapToGrid w:val="0"/>
        <w:spacing w:line="580" w:lineRule="atLeast"/>
        <w:ind w:right="0" w:rightChars="0"/>
        <w:jc w:val="center"/>
        <w:textAlignment w:val="auto"/>
        <w:rPr>
          <w:rFonts w:ascii="仿宋_GB2312" w:hAnsi="宋体" w:eastAsia="仿宋_GB2312"/>
          <w:sz w:val="32"/>
          <w:szCs w:val="32"/>
        </w:rPr>
      </w:pPr>
      <w:r>
        <w:rPr>
          <w:rFonts w:hint="eastAsia" w:ascii="仿宋_GB2312" w:eastAsia="仿宋_GB2312" w:cs="仿宋_GB2312"/>
          <w:sz w:val="32"/>
          <w:szCs w:val="32"/>
        </w:rPr>
        <w:t>津滨教体</w:t>
      </w:r>
      <w:r>
        <w:rPr>
          <w:rFonts w:hint="eastAsia" w:ascii="仿宋_GB2312" w:hAnsi="宋体" w:eastAsia="仿宋_GB2312" w:cs="仿宋_GB2312"/>
          <w:sz w:val="32"/>
          <w:szCs w:val="32"/>
        </w:rPr>
        <w:t>〔</w:t>
      </w:r>
      <w:r>
        <w:rPr>
          <w:rFonts w:ascii="仿宋_GB2312" w:eastAsia="仿宋_GB2312" w:cs="仿宋_GB2312"/>
          <w:sz w:val="32"/>
          <w:szCs w:val="32"/>
        </w:rPr>
        <w:t>20</w:t>
      </w:r>
      <w:r>
        <w:rPr>
          <w:rFonts w:hint="eastAsia" w:ascii="仿宋_GB2312" w:eastAsia="仿宋_GB2312" w:cs="仿宋_GB2312"/>
          <w:kern w:val="6"/>
          <w:sz w:val="32"/>
          <w:szCs w:val="32"/>
        </w:rPr>
        <w:t>2</w:t>
      </w:r>
      <w:r>
        <w:rPr>
          <w:rFonts w:hint="eastAsia" w:ascii="仿宋_GB2312" w:eastAsia="仿宋_GB2312" w:cs="仿宋_GB2312"/>
          <w:kern w:val="6"/>
          <w:sz w:val="32"/>
          <w:szCs w:val="32"/>
          <w:lang w:val="en-US" w:eastAsia="zh-CN"/>
        </w:rPr>
        <w:t>1</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22</w:t>
      </w:r>
      <w:r>
        <w:rPr>
          <w:rFonts w:hint="eastAsia" w:ascii="仿宋_GB2312" w:hAnsi="宋体" w:eastAsia="仿宋_GB2312" w:cs="仿宋_GB2312"/>
          <w:sz w:val="32"/>
          <w:szCs w:val="32"/>
        </w:rPr>
        <w:t>号</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pict>
          <v:line id="_x0000_s1027" o:spid="_x0000_s1027" o:spt="20" style="position:absolute;left:0pt;margin-left:-30.75pt;margin-top:3pt;height:0pt;width:481.9pt;z-index:251658240;mso-width-relative:page;mso-height-relative:page;" filled="f" stroked="t" coordsize="21600,21600">
            <v:path arrowok="t"/>
            <v:fill on="f" focussize="0,0"/>
            <v:stroke weight="2.25pt" color="#FF0000"/>
            <v:imagedata o:title=""/>
            <o:lock v:ext="edit" aspectratio="f"/>
          </v:line>
        </w:pic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仿宋_GB2312" w:eastAsia="仿宋_GB2312"/>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rPr>
          <w:rFonts w:hint="eastAsia" w:ascii="方正小标宋简体" w:eastAsia="方正小标宋简体"/>
          <w:sz w:val="44"/>
          <w:szCs w:val="44"/>
        </w:rPr>
      </w:pPr>
      <w:r>
        <w:rPr>
          <w:rFonts w:hint="eastAsia" w:ascii="方正小标宋简体" w:eastAsia="方正小标宋简体"/>
          <w:spacing w:val="-11"/>
          <w:sz w:val="44"/>
          <w:szCs w:val="44"/>
        </w:rPr>
        <w:t>关于印发区</w:t>
      </w:r>
      <w:r>
        <w:rPr>
          <w:rFonts w:hint="eastAsia" w:ascii="方正小标宋简体" w:eastAsia="方正小标宋简体"/>
          <w:spacing w:val="-11"/>
          <w:sz w:val="44"/>
          <w:szCs w:val="44"/>
          <w:lang w:eastAsia="zh-CN"/>
        </w:rPr>
        <w:t>教体局</w:t>
      </w:r>
      <w:r>
        <w:rPr>
          <w:rFonts w:hint="eastAsia" w:ascii="方正小标宋简体" w:eastAsia="方正小标宋简体"/>
          <w:spacing w:val="-11"/>
          <w:sz w:val="44"/>
          <w:szCs w:val="44"/>
        </w:rPr>
        <w:t>落实天津市贯彻落实《深化</w:t>
      </w:r>
      <w:r>
        <w:rPr>
          <w:rFonts w:hint="eastAsia" w:ascii="方正小标宋简体" w:eastAsia="方正小标宋简体"/>
          <w:sz w:val="44"/>
          <w:szCs w:val="44"/>
        </w:rPr>
        <w:t>新时代教育评价改革总体方案》正面清单</w:t>
      </w:r>
    </w:p>
    <w:p>
      <w:pPr>
        <w:keepNext w:val="0"/>
        <w:keepLines w:val="0"/>
        <w:pageBreakBefore w:val="0"/>
        <w:widowControl w:val="0"/>
        <w:kinsoku/>
        <w:wordWrap/>
        <w:overflowPunct/>
        <w:topLinePunct w:val="0"/>
        <w:autoSpaceDE/>
        <w:autoSpaceDN/>
        <w:bidi w:val="0"/>
        <w:adjustRightInd w:val="0"/>
        <w:snapToGrid w:val="0"/>
        <w:spacing w:line="580" w:lineRule="atLeast"/>
        <w:jc w:val="center"/>
        <w:textAlignment w:val="auto"/>
        <w:rPr>
          <w:rFonts w:hint="eastAsia" w:eastAsia="方正小标宋简体"/>
          <w:sz w:val="44"/>
          <w:szCs w:val="44"/>
        </w:rPr>
      </w:pPr>
      <w:r>
        <w:rPr>
          <w:rFonts w:hint="eastAsia" w:ascii="方正小标宋简体" w:eastAsia="方正小标宋简体"/>
          <w:sz w:val="44"/>
          <w:szCs w:val="44"/>
        </w:rPr>
        <w:t>和负面清单任务分解表的通知</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ascii="仿宋_GB2312" w:eastAsia="仿宋_GB2312"/>
          <w:kern w:val="0"/>
          <w:sz w:val="32"/>
          <w:szCs w:val="32"/>
          <w:shd w:val="clear" w:color="auto" w:fill="FFFFFF"/>
        </w:rPr>
      </w:pPr>
      <w:r>
        <w:rPr>
          <w:rFonts w:hint="eastAsia" w:ascii="仿宋_GB2312" w:eastAsia="仿宋_GB2312"/>
          <w:kern w:val="0"/>
          <w:sz w:val="32"/>
          <w:szCs w:val="32"/>
          <w:shd w:val="clear" w:color="auto" w:fill="FFFFFF"/>
          <w:lang w:eastAsia="zh-CN"/>
        </w:rPr>
        <w:t>局</w:t>
      </w:r>
      <w:r>
        <w:rPr>
          <w:rFonts w:hint="eastAsia" w:ascii="仿宋_GB2312" w:eastAsia="仿宋_GB2312"/>
          <w:kern w:val="0"/>
          <w:sz w:val="32"/>
          <w:szCs w:val="32"/>
          <w:shd w:val="clear" w:color="auto" w:fill="FFFFFF"/>
        </w:rPr>
        <w:t>机关各工作室，</w:t>
      </w:r>
      <w:r>
        <w:rPr>
          <w:rFonts w:hint="eastAsia" w:ascii="仿宋_GB2312" w:eastAsia="仿宋_GB2312"/>
          <w:kern w:val="0"/>
          <w:sz w:val="32"/>
          <w:szCs w:val="32"/>
          <w:shd w:val="clear" w:color="auto" w:fill="FFFFFF"/>
          <w:lang w:eastAsia="zh-CN"/>
        </w:rPr>
        <w:t>各中小学、幼儿园，</w:t>
      </w:r>
      <w:r>
        <w:rPr>
          <w:rFonts w:hint="eastAsia" w:ascii="仿宋_GB2312" w:eastAsia="仿宋_GB2312"/>
          <w:kern w:val="0"/>
          <w:sz w:val="32"/>
          <w:szCs w:val="32"/>
          <w:shd w:val="clear" w:color="auto" w:fill="FFFFFF"/>
        </w:rPr>
        <w:t>各有关单位</w:t>
      </w:r>
      <w:r>
        <w:rPr>
          <w:rFonts w:hint="eastAsia" w:ascii="仿宋_GB2312" w:eastAsia="仿宋_GB2312"/>
          <w:kern w:val="0"/>
          <w:sz w:val="32"/>
          <w:szCs w:val="32"/>
          <w:shd w:val="clear" w:color="auto" w:fill="FFFFFF"/>
          <w:lang w:eastAsia="zh-CN"/>
        </w:rPr>
        <w:t>，各开发区教育主管部门、泰达街城管委文教办</w:t>
      </w:r>
      <w:r>
        <w:rPr>
          <w:rFonts w:hint="eastAsia" w:ascii="仿宋_GB2312" w:eastAsia="仿宋_GB2312"/>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仿宋_GB2312" w:eastAsia="仿宋_GB2312"/>
          <w:kern w:val="0"/>
          <w:sz w:val="32"/>
          <w:szCs w:val="32"/>
          <w:shd w:val="clear" w:color="auto" w:fill="FFFFFF"/>
        </w:rPr>
        <w:t>为深入贯彻习近平总书记关于深化新时代教育评价改革的重要指示批示精神，全面落实中共中央、国务院《深化新时代教育评价改革总体方案》，市委教育工作领导小组制定了《天津市贯彻落实《深化新时代教育评价改革总体方案》工作安排清单、正面清单和负面清单》，区教体局对正面清单和负面清单的各项任务进行了分解，现印发给你们，并将</w:t>
      </w:r>
      <w:r>
        <w:rPr>
          <w:rFonts w:hint="eastAsia" w:ascii="仿宋_GB2312" w:eastAsia="仿宋_GB2312"/>
          <w:sz w:val="32"/>
          <w:szCs w:val="32"/>
        </w:rPr>
        <w:t>有关事宜通知如下。</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kern w:val="0"/>
          <w:sz w:val="32"/>
          <w:szCs w:val="32"/>
          <w:shd w:val="clear" w:color="auto" w:fill="FFFFFF"/>
        </w:rPr>
      </w:pPr>
      <w:r>
        <w:rPr>
          <w:rFonts w:hint="eastAsia" w:ascii="黑体" w:hAnsi="黑体" w:eastAsia="黑体"/>
          <w:sz w:val="32"/>
          <w:szCs w:val="32"/>
        </w:rPr>
        <w:t>一是全面深入学习贯彻。</w:t>
      </w:r>
      <w:r>
        <w:rPr>
          <w:rFonts w:hint="eastAsia" w:ascii="仿宋_GB2312" w:eastAsia="仿宋_GB2312"/>
          <w:kern w:val="0"/>
          <w:sz w:val="32"/>
          <w:szCs w:val="32"/>
          <w:shd w:val="clear" w:color="auto" w:fill="FFFFFF"/>
        </w:rPr>
        <w:t>深入学习贯彻习近平总书记关于深化新时代教育评价改革重要指示批示精神，全面落实中共中央、国务院《深化新时代教育评价改革总体方案》和我市、我区贯彻落实正面清单和负面清单的各项任务，提高思想认识，强化责任担当，深刻认识教育评价改革的重要性和紧迫性，切实增强使命感和责任感，坚决把思想和行动统一到中央和市、区委的决策部署上来。</w:t>
      </w:r>
    </w:p>
    <w:p>
      <w:pPr>
        <w:keepNext w:val="0"/>
        <w:keepLines w:val="0"/>
        <w:pageBreakBefore w:val="0"/>
        <w:widowControl w:val="0"/>
        <w:kinsoku/>
        <w:wordWrap/>
        <w:overflowPunct/>
        <w:topLinePunct w:val="0"/>
        <w:autoSpaceDE/>
        <w:autoSpaceDN/>
        <w:bidi w:val="0"/>
        <w:adjustRightInd w:val="0"/>
        <w:snapToGrid w:val="0"/>
        <w:spacing w:line="580" w:lineRule="atLeast"/>
        <w:ind w:firstLine="645"/>
        <w:textAlignment w:val="auto"/>
        <w:rPr>
          <w:rFonts w:hint="eastAsia" w:ascii="仿宋_GB2312" w:eastAsia="仿宋_GB2312"/>
          <w:sz w:val="32"/>
          <w:szCs w:val="32"/>
        </w:rPr>
      </w:pPr>
      <w:r>
        <w:rPr>
          <w:rFonts w:hint="eastAsia" w:ascii="黑体" w:hAnsi="黑体" w:eastAsia="黑体"/>
          <w:sz w:val="32"/>
          <w:szCs w:val="32"/>
        </w:rPr>
        <w:t>二是抓好分层培训和宣传教育。</w:t>
      </w:r>
      <w:r>
        <w:rPr>
          <w:rFonts w:hint="eastAsia" w:ascii="仿宋_GB2312" w:eastAsia="仿宋_GB2312"/>
          <w:kern w:val="0"/>
          <w:sz w:val="32"/>
          <w:szCs w:val="32"/>
          <w:shd w:val="clear" w:color="auto" w:fill="FFFFFF"/>
        </w:rPr>
        <w:t>采取集中培训、报告会、研讨会等多种形式，组织开展教育评价改革分层培训，实现全覆盖，引导全社会以及广大干部教师准确把握“为什么改”“改什么”“怎么改”，</w:t>
      </w:r>
      <w:r>
        <w:rPr>
          <w:rFonts w:hint="eastAsia" w:ascii="仿宋_GB2312" w:eastAsia="仿宋_GB2312"/>
          <w:sz w:val="32"/>
          <w:szCs w:val="32"/>
        </w:rPr>
        <w:t>明确改革的重点领域、关键环节和主攻方向，找准推进路径、工作方法和有力抓手</w:t>
      </w:r>
      <w:r>
        <w:rPr>
          <w:rFonts w:hint="eastAsia" w:ascii="仿宋_GB2312" w:eastAsia="仿宋_GB2312"/>
          <w:kern w:val="0"/>
          <w:sz w:val="32"/>
          <w:szCs w:val="32"/>
          <w:shd w:val="clear" w:color="auto" w:fill="FFFFFF"/>
        </w:rPr>
        <w:t>。</w:t>
      </w:r>
      <w:r>
        <w:rPr>
          <w:rFonts w:hint="eastAsia" w:ascii="仿宋_GB2312" w:eastAsia="仿宋_GB2312"/>
          <w:sz w:val="32"/>
          <w:szCs w:val="32"/>
        </w:rPr>
        <w:t>加大政策解读力度，大力宣传推广教育评价改革成功经验和典型案例，有效营造改革良好氛围。</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rPr>
      </w:pPr>
      <w:r>
        <w:rPr>
          <w:rFonts w:hint="eastAsia" w:ascii="黑体" w:hAnsi="黑体" w:eastAsia="黑体"/>
          <w:sz w:val="32"/>
          <w:szCs w:val="32"/>
        </w:rPr>
        <w:t>三是确保工作落细落实。</w:t>
      </w:r>
      <w:r>
        <w:rPr>
          <w:rFonts w:hint="eastAsia" w:ascii="仿宋_GB2312" w:hAnsi="黑体" w:eastAsia="仿宋_GB2312"/>
          <w:sz w:val="32"/>
          <w:szCs w:val="32"/>
        </w:rPr>
        <w:t>各相关部门</w:t>
      </w:r>
      <w:r>
        <w:rPr>
          <w:rFonts w:hint="eastAsia" w:ascii="仿宋_GB2312" w:hAnsi="黑体" w:eastAsia="仿宋_GB2312"/>
          <w:sz w:val="32"/>
          <w:szCs w:val="32"/>
          <w:lang w:eastAsia="zh-CN"/>
        </w:rPr>
        <w:t>和单位</w:t>
      </w:r>
      <w:r>
        <w:rPr>
          <w:rFonts w:hint="eastAsia" w:ascii="仿宋_GB2312" w:hAnsi="黑体" w:eastAsia="仿宋_GB2312"/>
          <w:sz w:val="32"/>
          <w:szCs w:val="32"/>
        </w:rPr>
        <w:t>要</w:t>
      </w:r>
      <w:r>
        <w:rPr>
          <w:rFonts w:hint="eastAsia" w:ascii="仿宋_GB2312" w:eastAsia="仿宋_GB2312"/>
          <w:kern w:val="0"/>
          <w:sz w:val="32"/>
          <w:szCs w:val="32"/>
          <w:shd w:val="clear" w:color="auto" w:fill="FFFFFF"/>
        </w:rPr>
        <w:t>对照负面清单，开展专项清理整治，全面梳理相关规章制度和政策文件，坚决把与总体方案精神不一致的各种做法规定一律改过来，切实做到令行禁止。要对照正面清单，加强统筹协调，注重部门联动，抓紧制定和完善相关配套政策。要</w:t>
      </w:r>
      <w:r>
        <w:rPr>
          <w:rFonts w:hint="eastAsia" w:ascii="仿宋_GB2312" w:eastAsia="仿宋_GB2312"/>
          <w:sz w:val="32"/>
          <w:szCs w:val="32"/>
        </w:rPr>
        <w:t>进一步细化本部门、本单位推进教育评价改革的具体举措和任务分工，明确时间表、路线图和责任人，建立工作台账，确保各项改革任务落地见效。</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各开发区教育主管部门可参照本任务分解表对本区域学校幼儿园做出工作安排。</w:t>
      </w:r>
    </w:p>
    <w:p>
      <w:pPr>
        <w:keepNext w:val="0"/>
        <w:keepLines w:val="0"/>
        <w:pageBreakBefore w:val="0"/>
        <w:widowControl w:val="0"/>
        <w:kinsoku/>
        <w:wordWrap/>
        <w:overflowPunct/>
        <w:topLinePunct w:val="0"/>
        <w:autoSpaceDE/>
        <w:autoSpaceDN/>
        <w:bidi w:val="0"/>
        <w:adjustRightInd w:val="0"/>
        <w:snapToGrid w:val="0"/>
        <w:spacing w:line="580" w:lineRule="atLeast"/>
        <w:ind w:left="1598" w:leftChars="304" w:hanging="960" w:hangingChars="300"/>
        <w:textAlignment w:val="auto"/>
        <w:rPr>
          <w:rFonts w:hint="eastAsia" w:ascii="仿宋_GB2312" w:eastAsia="仿宋_GB2312"/>
          <w:kern w:val="0"/>
          <w:sz w:val="32"/>
          <w:szCs w:val="32"/>
          <w:shd w:val="clear" w:color="auto" w:fill="FFFFFF"/>
          <w:lang w:eastAsia="zh-CN"/>
        </w:rPr>
      </w:pPr>
      <w:r>
        <w:rPr>
          <w:rFonts w:hint="eastAsia" w:ascii="仿宋_GB2312" w:eastAsia="仿宋_GB2312"/>
          <w:kern w:val="0"/>
          <w:sz w:val="32"/>
          <w:szCs w:val="32"/>
          <w:shd w:val="clear" w:color="auto" w:fill="FFFFFF"/>
          <w:lang w:eastAsia="zh-CN"/>
        </w:rPr>
        <w:t>附件：区教体局落实《天津市贯彻落实&lt;深化新时代教育评价改革总体方案&gt;正面清单》任务分解表、区教体局落实《天津市贯彻落实&lt;深化新时代教育评价改革总体方案&gt;负面清单》任务分解表</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ascii="仿宋_GB2312" w:eastAsia="仿宋_GB2312"/>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5459" w:firstLineChars="1706"/>
        <w:textAlignment w:val="auto"/>
        <w:rPr>
          <w:rFonts w:hint="eastAsia"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2021年</w:t>
      </w:r>
      <w:r>
        <w:rPr>
          <w:rFonts w:hint="eastAsia" w:ascii="仿宋_GB2312" w:eastAsia="仿宋_GB2312"/>
          <w:kern w:val="0"/>
          <w:sz w:val="32"/>
          <w:szCs w:val="32"/>
          <w:shd w:val="clear" w:color="auto" w:fill="FFFFFF"/>
          <w:lang w:val="en-US" w:eastAsia="zh-CN"/>
        </w:rPr>
        <w:t>5</w:t>
      </w:r>
      <w:r>
        <w:rPr>
          <w:rFonts w:hint="eastAsia" w:ascii="仿宋_GB2312" w:eastAsia="仿宋_GB2312"/>
          <w:kern w:val="0"/>
          <w:sz w:val="32"/>
          <w:szCs w:val="32"/>
          <w:shd w:val="clear" w:color="auto" w:fill="FFFFFF"/>
        </w:rPr>
        <w:t>月</w:t>
      </w:r>
      <w:r>
        <w:rPr>
          <w:rFonts w:hint="eastAsia" w:ascii="仿宋_GB2312" w:eastAsia="仿宋_GB2312"/>
          <w:kern w:val="0"/>
          <w:sz w:val="32"/>
          <w:szCs w:val="32"/>
          <w:shd w:val="clear" w:color="auto" w:fill="FFFFFF"/>
          <w:lang w:val="en-US" w:eastAsia="zh-CN"/>
        </w:rPr>
        <w:t>13</w:t>
      </w:r>
      <w:r>
        <w:rPr>
          <w:rFonts w:hint="eastAsia" w:ascii="仿宋_GB2312" w:eastAsia="仿宋_GB2312"/>
          <w:kern w:val="0"/>
          <w:sz w:val="32"/>
          <w:szCs w:val="32"/>
          <w:shd w:val="clear" w:color="auto" w:fill="FFFFFF"/>
        </w:rPr>
        <w:t>日</w:t>
      </w:r>
    </w:p>
    <w:p>
      <w:pPr>
        <w:keepNext w:val="0"/>
        <w:keepLines w:val="0"/>
        <w:pageBreakBefore w:val="0"/>
        <w:widowControl w:val="0"/>
        <w:kinsoku/>
        <w:wordWrap/>
        <w:overflowPunct/>
        <w:topLinePunct w:val="0"/>
        <w:autoSpaceDE/>
        <w:autoSpaceDN/>
        <w:bidi w:val="0"/>
        <w:adjustRightInd w:val="0"/>
        <w:snapToGrid w:val="0"/>
        <w:spacing w:line="580" w:lineRule="atLeast"/>
        <w:textAlignment w:val="auto"/>
        <w:rPr>
          <w:rFonts w:hint="eastAsia"/>
        </w:rPr>
      </w:pPr>
      <w:r>
        <w:t xml:space="preserve"> </w:t>
      </w:r>
    </w:p>
    <w:p>
      <w:pPr>
        <w:keepNext w:val="0"/>
        <w:keepLines w:val="0"/>
        <w:pageBreakBefore w:val="0"/>
        <w:kinsoku/>
        <w:wordWrap/>
        <w:overflowPunct/>
        <w:topLinePunct w:val="0"/>
        <w:autoSpaceDE/>
        <w:autoSpaceDN/>
        <w:bidi w:val="0"/>
        <w:adjustRightInd w:val="0"/>
        <w:snapToGrid w:val="0"/>
        <w:spacing w:line="560" w:lineRule="atLeast"/>
        <w:ind w:right="0" w:rightChars="0"/>
        <w:textAlignment w:val="auto"/>
        <w:rPr>
          <w:rFonts w:hAnsi="仿宋_GB2312" w:cs="仿宋_GB2312"/>
          <w:sz w:val="32"/>
          <w:szCs w:val="32"/>
        </w:rPr>
      </w:pPr>
    </w:p>
    <w:p>
      <w:pPr>
        <w:keepNext w:val="0"/>
        <w:keepLines w:val="0"/>
        <w:pageBreakBefore w:val="0"/>
        <w:kinsoku/>
        <w:wordWrap/>
        <w:overflowPunct/>
        <w:topLinePunct w:val="0"/>
        <w:autoSpaceDE/>
        <w:autoSpaceDN/>
        <w:bidi w:val="0"/>
        <w:adjustRightInd w:val="0"/>
        <w:snapToGrid w:val="0"/>
        <w:spacing w:line="560" w:lineRule="atLeast"/>
        <w:ind w:right="0" w:rightChars="0"/>
        <w:textAlignment w:val="auto"/>
        <w:rPr>
          <w:rFonts w:hAnsi="仿宋_GB2312" w:cs="仿宋_GB2312"/>
          <w:sz w:val="32"/>
          <w:szCs w:val="32"/>
        </w:rPr>
      </w:pPr>
    </w:p>
    <w:p>
      <w:pPr>
        <w:keepNext w:val="0"/>
        <w:keepLines w:val="0"/>
        <w:pageBreakBefore w:val="0"/>
        <w:kinsoku/>
        <w:wordWrap/>
        <w:overflowPunct/>
        <w:topLinePunct w:val="0"/>
        <w:autoSpaceDE/>
        <w:autoSpaceDN/>
        <w:bidi w:val="0"/>
        <w:adjustRightInd w:val="0"/>
        <w:snapToGrid w:val="0"/>
        <w:spacing w:line="560" w:lineRule="atLeast"/>
        <w:ind w:right="0" w:rightChars="0"/>
        <w:textAlignment w:val="auto"/>
        <w:rPr>
          <w:rFonts w:hAnsi="仿宋_GB2312" w:cs="仿宋_GB2312"/>
          <w:sz w:val="32"/>
          <w:szCs w:val="32"/>
        </w:rPr>
      </w:pPr>
    </w:p>
    <w:p>
      <w:pPr>
        <w:keepNext w:val="0"/>
        <w:keepLines w:val="0"/>
        <w:pageBreakBefore w:val="0"/>
        <w:kinsoku/>
        <w:wordWrap/>
        <w:overflowPunct/>
        <w:topLinePunct w:val="0"/>
        <w:autoSpaceDE/>
        <w:autoSpaceDN/>
        <w:bidi w:val="0"/>
        <w:adjustRightInd w:val="0"/>
        <w:snapToGrid w:val="0"/>
        <w:spacing w:line="560" w:lineRule="atLeast"/>
        <w:ind w:right="0" w:rightChars="0"/>
        <w:textAlignment w:val="auto"/>
        <w:rPr>
          <w:rFonts w:hAnsi="仿宋_GB2312" w:cs="仿宋_GB2312"/>
          <w:sz w:val="32"/>
          <w:szCs w:val="32"/>
        </w:rPr>
      </w:pPr>
    </w:p>
    <w:p>
      <w:pPr>
        <w:keepNext w:val="0"/>
        <w:keepLines w:val="0"/>
        <w:pageBreakBefore w:val="0"/>
        <w:kinsoku/>
        <w:wordWrap/>
        <w:overflowPunct/>
        <w:topLinePunct w:val="0"/>
        <w:autoSpaceDE/>
        <w:autoSpaceDN/>
        <w:bidi w:val="0"/>
        <w:adjustRightInd w:val="0"/>
        <w:snapToGrid w:val="0"/>
        <w:spacing w:line="560" w:lineRule="atLeast"/>
        <w:ind w:right="0" w:rightChars="0"/>
        <w:textAlignment w:val="auto"/>
        <w:rPr>
          <w:rFonts w:hAnsi="仿宋_GB2312" w:cs="仿宋_GB2312"/>
          <w:sz w:val="32"/>
          <w:szCs w:val="32"/>
        </w:rPr>
      </w:pPr>
    </w:p>
    <w:p>
      <w:pPr>
        <w:keepNext w:val="0"/>
        <w:keepLines w:val="0"/>
        <w:pageBreakBefore w:val="0"/>
        <w:kinsoku/>
        <w:wordWrap/>
        <w:overflowPunct/>
        <w:topLinePunct w:val="0"/>
        <w:autoSpaceDE/>
        <w:autoSpaceDN/>
        <w:bidi w:val="0"/>
        <w:adjustRightInd w:val="0"/>
        <w:snapToGrid w:val="0"/>
        <w:spacing w:line="560" w:lineRule="atLeast"/>
        <w:ind w:right="0" w:rightChars="0"/>
        <w:textAlignment w:val="auto"/>
        <w:rPr>
          <w:rFonts w:hAnsi="仿宋_GB2312" w:cs="仿宋_GB2312"/>
          <w:sz w:val="32"/>
          <w:szCs w:val="32"/>
        </w:rPr>
      </w:pPr>
    </w:p>
    <w:p>
      <w:pPr>
        <w:keepNext w:val="0"/>
        <w:keepLines w:val="0"/>
        <w:pageBreakBefore w:val="0"/>
        <w:kinsoku/>
        <w:wordWrap/>
        <w:overflowPunct/>
        <w:topLinePunct w:val="0"/>
        <w:autoSpaceDE/>
        <w:autoSpaceDN/>
        <w:bidi w:val="0"/>
        <w:adjustRightInd w:val="0"/>
        <w:snapToGrid w:val="0"/>
        <w:spacing w:line="560" w:lineRule="atLeast"/>
        <w:ind w:right="0" w:rightChars="0"/>
        <w:textAlignment w:val="auto"/>
        <w:rPr>
          <w:rFonts w:hAnsi="仿宋_GB2312" w:cs="仿宋_GB2312"/>
          <w:sz w:val="32"/>
          <w:szCs w:val="32"/>
        </w:rPr>
      </w:pPr>
    </w:p>
    <w:p>
      <w:pPr>
        <w:keepNext w:val="0"/>
        <w:keepLines w:val="0"/>
        <w:pageBreakBefore w:val="0"/>
        <w:kinsoku/>
        <w:wordWrap/>
        <w:overflowPunct/>
        <w:topLinePunct w:val="0"/>
        <w:autoSpaceDE/>
        <w:autoSpaceDN/>
        <w:bidi w:val="0"/>
        <w:adjustRightInd w:val="0"/>
        <w:snapToGrid w:val="0"/>
        <w:spacing w:line="560" w:lineRule="atLeast"/>
        <w:ind w:right="0" w:rightChars="0"/>
        <w:textAlignment w:val="auto"/>
        <w:rPr>
          <w:rFonts w:hAnsi="仿宋_GB2312" w:cs="仿宋_GB2312"/>
          <w:sz w:val="32"/>
          <w:szCs w:val="32"/>
        </w:rPr>
      </w:pPr>
    </w:p>
    <w:p>
      <w:pPr>
        <w:keepNext w:val="0"/>
        <w:keepLines w:val="0"/>
        <w:pageBreakBefore w:val="0"/>
        <w:kinsoku/>
        <w:wordWrap/>
        <w:overflowPunct/>
        <w:topLinePunct w:val="0"/>
        <w:autoSpaceDE/>
        <w:autoSpaceDN/>
        <w:bidi w:val="0"/>
        <w:adjustRightInd w:val="0"/>
        <w:snapToGrid w:val="0"/>
        <w:spacing w:line="560" w:lineRule="atLeast"/>
        <w:ind w:right="0" w:rightChars="0"/>
        <w:textAlignment w:val="auto"/>
        <w:rPr>
          <w:rFonts w:hAnsi="仿宋_GB2312" w:cs="仿宋_GB2312"/>
          <w:sz w:val="32"/>
          <w:szCs w:val="32"/>
        </w:rPr>
      </w:pPr>
    </w:p>
    <w:p>
      <w:pPr>
        <w:keepNext w:val="0"/>
        <w:keepLines w:val="0"/>
        <w:pageBreakBefore w:val="0"/>
        <w:kinsoku/>
        <w:wordWrap/>
        <w:overflowPunct/>
        <w:topLinePunct w:val="0"/>
        <w:autoSpaceDE/>
        <w:autoSpaceDN/>
        <w:bidi w:val="0"/>
        <w:adjustRightInd w:val="0"/>
        <w:snapToGrid w:val="0"/>
        <w:spacing w:line="560" w:lineRule="atLeast"/>
        <w:ind w:right="0" w:rightChars="0"/>
        <w:textAlignment w:val="auto"/>
        <w:rPr>
          <w:rFonts w:hAnsi="仿宋_GB2312" w:cs="仿宋_GB2312"/>
          <w:sz w:val="32"/>
          <w:szCs w:val="32"/>
        </w:rPr>
      </w:pPr>
      <w:bookmarkStart w:id="0" w:name="_GoBack"/>
      <w:bookmarkEnd w:id="0"/>
    </w:p>
    <w:p>
      <w:pPr>
        <w:keepNext w:val="0"/>
        <w:keepLines w:val="0"/>
        <w:pageBreakBefore w:val="0"/>
        <w:kinsoku/>
        <w:wordWrap/>
        <w:overflowPunct/>
        <w:topLinePunct w:val="0"/>
        <w:autoSpaceDE/>
        <w:autoSpaceDN/>
        <w:bidi w:val="0"/>
        <w:adjustRightInd w:val="0"/>
        <w:snapToGrid w:val="0"/>
        <w:spacing w:line="560" w:lineRule="atLeast"/>
        <w:ind w:right="0" w:rightChars="0"/>
        <w:textAlignment w:val="auto"/>
        <w:rPr>
          <w:rFonts w:hAnsi="仿宋_GB2312" w:cs="仿宋_GB2312"/>
          <w:sz w:val="32"/>
          <w:szCs w:val="32"/>
        </w:rPr>
      </w:pPr>
    </w:p>
    <w:p>
      <w:pPr>
        <w:keepNext w:val="0"/>
        <w:keepLines w:val="0"/>
        <w:pageBreakBefore w:val="0"/>
        <w:kinsoku/>
        <w:wordWrap/>
        <w:overflowPunct/>
        <w:topLinePunct w:val="0"/>
        <w:autoSpaceDE/>
        <w:autoSpaceDN/>
        <w:bidi w:val="0"/>
        <w:adjustRightInd w:val="0"/>
        <w:snapToGrid w:val="0"/>
        <w:spacing w:line="560" w:lineRule="atLeast"/>
        <w:ind w:right="0" w:rightChars="0"/>
        <w:textAlignment w:val="auto"/>
        <w:rPr>
          <w:rFonts w:hAnsi="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280" w:firstLineChars="100"/>
        <w:jc w:val="left"/>
        <w:textAlignment w:val="auto"/>
        <w:rPr>
          <w:rFonts w:hint="eastAsia" w:ascii="仿宋_GB2312" w:hAnsi="仿宋_GB2312" w:eastAsia="仿宋_GB2312" w:cs="仿宋_GB2312"/>
          <w:sz w:val="28"/>
          <w:szCs w:val="28"/>
        </w:rPr>
      </w:pPr>
      <w:r>
        <w:rPr>
          <w:rFonts w:ascii="仿宋_GB2312" w:hAnsi="仿宋_GB2312" w:eastAsia="仿宋_GB2312" w:cs="仿宋_GB2312"/>
          <w:sz w:val="28"/>
          <w:szCs w:val="28"/>
        </w:rPr>
        <w:pict>
          <v:line id="_x0000_s1028" o:spid="_x0000_s1028" o:spt="20" style="position:absolute;left:0pt;margin-left:-4.75pt;margin-top:6.45pt;height:0.05pt;width:428.05pt;z-index:251664384;mso-width-relative:page;mso-height-relative:page;" coordsize="21600,21600">
            <v:path arrowok="t"/>
            <v:fill focussize="0,0"/>
            <v:stroke weight="0.992047244094488pt"/>
            <v:imagedata o:title=""/>
            <o:lock v:ext="edit"/>
          </v:line>
        </w:pict>
      </w:r>
      <w:r>
        <w:rPr>
          <w:rFonts w:hint="eastAsia" w:ascii="仿宋_GB2312" w:hAnsi="仿宋_GB2312" w:eastAsia="仿宋_GB2312" w:cs="仿宋_GB2312"/>
          <w:sz w:val="28"/>
          <w:szCs w:val="28"/>
        </w:rPr>
        <w:t>抄送：各开发区管委会、</w:t>
      </w:r>
      <w:r>
        <w:rPr>
          <w:rFonts w:hint="eastAsia" w:ascii="仿宋_GB2312" w:hAnsi="仿宋_GB2312" w:eastAsia="仿宋_GB2312" w:cs="仿宋_GB2312"/>
          <w:sz w:val="28"/>
          <w:szCs w:val="28"/>
          <w:highlight w:val="none"/>
        </w:rPr>
        <w:t>泰达街</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280" w:firstLineChars="100"/>
        <w:jc w:val="left"/>
        <w:textAlignment w:val="auto"/>
        <w:rPr>
          <w:rFonts w:hint="eastAsia"/>
        </w:rPr>
      </w:pPr>
      <w:r>
        <w:rPr>
          <w:rFonts w:ascii="仿宋_GB2312" w:eastAsia="仿宋_GB2312"/>
          <w:sz w:val="28"/>
          <w:szCs w:val="28"/>
        </w:rPr>
        <w:pict>
          <v:line id="_x0000_s1029" o:spid="_x0000_s1029" o:spt="20" style="position:absolute;left:0pt;margin-left:-4.75pt;margin-top:5.3pt;height:0.05pt;width:428.05pt;z-index:251662336;mso-width-relative:page;mso-height-relative:page;" coordsize="21600,21600">
            <v:path arrowok="t"/>
            <v:fill focussize="0,0"/>
            <v:stroke weight="0.992047244094488pt"/>
            <v:imagedata o:title=""/>
            <o:lock v:ext="edit"/>
          </v:line>
        </w:pict>
      </w:r>
      <w:r>
        <w:rPr>
          <w:rFonts w:ascii="仿宋_GB2312" w:eastAsia="仿宋_GB2312"/>
          <w:sz w:val="28"/>
          <w:szCs w:val="28"/>
        </w:rPr>
        <w:pict>
          <v:line id="_x0000_s1030" o:spid="_x0000_s1030" o:spt="20" style="position:absolute;left:0pt;margin-left:-4.75pt;margin-top:30.15pt;height:0.05pt;width:428.05pt;z-index:251663360;mso-width-relative:page;mso-height-relative:page;" coordsize="21600,21600">
            <v:path arrowok="t"/>
            <v:fill focussize="0,0"/>
            <v:stroke weight="0.992047244094488pt"/>
            <v:imagedata o:title=""/>
            <o:lock v:ext="edit"/>
          </v:line>
        </w:pict>
      </w:r>
      <w:r>
        <w:rPr>
          <w:rFonts w:hint="eastAsia" w:ascii="仿宋_GB2312" w:eastAsia="仿宋_GB2312"/>
          <w:sz w:val="28"/>
          <w:szCs w:val="28"/>
        </w:rPr>
        <w:t xml:space="preserve">天津市滨海新区教育体育局办公室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202</w:t>
      </w:r>
      <w:r>
        <w:rPr>
          <w:rFonts w:hint="eastAsia" w:ascii="仿宋_GB2312" w:eastAsia="仿宋_GB2312"/>
          <w:sz w:val="28"/>
          <w:szCs w:val="28"/>
          <w:lang w:val="en-US" w:eastAsia="zh-CN"/>
        </w:rPr>
        <w:t>1</w:t>
      </w:r>
      <w:r>
        <w:rPr>
          <w:rFonts w:hint="eastAsia" w:ascii="仿宋_GB2312" w:eastAsia="仿宋_GB2312"/>
          <w:sz w:val="28"/>
          <w:szCs w:val="28"/>
        </w:rPr>
        <w:t>年</w:t>
      </w:r>
      <w:r>
        <w:rPr>
          <w:rFonts w:hint="eastAsia" w:ascii="仿宋_GB2312" w:eastAsia="仿宋_GB2312"/>
          <w:sz w:val="28"/>
          <w:szCs w:val="28"/>
          <w:lang w:val="en-US" w:eastAsia="zh-CN"/>
        </w:rPr>
        <w:t>5月13日</w:t>
      </w:r>
      <w:r>
        <w:rPr>
          <w:rFonts w:hint="eastAsia" w:ascii="仿宋_GB2312" w:eastAsia="仿宋_GB2312"/>
          <w:sz w:val="28"/>
          <w:szCs w:val="28"/>
        </w:rPr>
        <w:t>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170A"/>
    <w:rsid w:val="0024170A"/>
    <w:rsid w:val="00A665D8"/>
    <w:rsid w:val="17703281"/>
    <w:rsid w:val="1B624BDB"/>
    <w:rsid w:val="39AC14D4"/>
    <w:rsid w:val="41790EF0"/>
    <w:rsid w:val="77EA3653"/>
    <w:rsid w:val="796622D2"/>
    <w:rsid w:val="7CA66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118</Words>
  <Characters>673</Characters>
  <Lines>5</Lines>
  <Paragraphs>1</Paragraphs>
  <TotalTime>2</TotalTime>
  <ScaleCrop>false</ScaleCrop>
  <LinksUpToDate>false</LinksUpToDate>
  <CharactersWithSpaces>790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2021-05-06T07:29:00Z</dcterms:created>
  <dc:creator>微软用户</dc:creator>
  <cp:lastModifiedBy>Administrator</cp:lastModifiedBy>
  <cp:lastPrinted>2021-05-12T03:06:00Z</cp:lastPrinted>
  <dcterms:modified xsi:type="dcterms:W3CDTF">2021-05-13T02:55:33Z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8C078178A33E49B3B33E505FF0E08AB6</vt:lpwstr>
  </property>
</Properties>
</file>